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B42D8" w14:textId="409B5E3B" w:rsidR="00B57E6C" w:rsidRDefault="003012F2" w:rsidP="003012F2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</w:t>
      </w:r>
      <w:r w:rsidR="00F25E13">
        <w:rPr>
          <w:b/>
          <w:bCs/>
        </w:rPr>
        <w:t>Opis operacji</w:t>
      </w:r>
      <w:r>
        <w:rPr>
          <w:b/>
          <w:bCs/>
        </w:rPr>
        <w:t xml:space="preserve">                             </w:t>
      </w:r>
      <w:r w:rsidRPr="003012F2">
        <w:rPr>
          <w:sz w:val="16"/>
          <w:szCs w:val="16"/>
        </w:rPr>
        <w:t>Załącznik nr 18 do Regulaminu naboru</w:t>
      </w:r>
    </w:p>
    <w:p w14:paraId="6A34DFF5" w14:textId="17153B36" w:rsidR="00B57E6C" w:rsidRDefault="00B57E6C" w:rsidP="00F25E13">
      <w:pPr>
        <w:jc w:val="center"/>
        <w:rPr>
          <w:b/>
          <w:bCs/>
        </w:rPr>
      </w:pPr>
      <w:r>
        <w:rPr>
          <w:b/>
          <w:bCs/>
        </w:rPr>
        <w:t>(w tym miejscu należy opisać planowaną operację, zgodnie z instrukcją poniżej)</w:t>
      </w:r>
    </w:p>
    <w:p w14:paraId="6CB35262" w14:textId="77777777" w:rsidR="007C5F33" w:rsidRDefault="007C5F33">
      <w:pPr>
        <w:rPr>
          <w:b/>
          <w:bCs/>
        </w:rPr>
      </w:pPr>
    </w:p>
    <w:p w14:paraId="016043F3" w14:textId="77777777" w:rsidR="007C5F33" w:rsidRDefault="007C5F33">
      <w:pPr>
        <w:rPr>
          <w:b/>
          <w:bCs/>
        </w:rPr>
      </w:pPr>
    </w:p>
    <w:p w14:paraId="680A90EA" w14:textId="77777777" w:rsidR="007C5F33" w:rsidRDefault="007C5F33">
      <w:pPr>
        <w:rPr>
          <w:b/>
          <w:bCs/>
        </w:rPr>
      </w:pPr>
    </w:p>
    <w:p w14:paraId="7847DFA6" w14:textId="77777777" w:rsidR="007C5F33" w:rsidRDefault="007C5F33">
      <w:pPr>
        <w:rPr>
          <w:b/>
          <w:bCs/>
        </w:rPr>
      </w:pPr>
    </w:p>
    <w:p w14:paraId="77E067CC" w14:textId="77777777" w:rsidR="007C5F33" w:rsidRDefault="007C5F33">
      <w:pPr>
        <w:rPr>
          <w:b/>
          <w:bCs/>
        </w:rPr>
      </w:pPr>
    </w:p>
    <w:p w14:paraId="12C6DAFD" w14:textId="77777777" w:rsidR="007C5F33" w:rsidRDefault="007C5F33">
      <w:pPr>
        <w:rPr>
          <w:b/>
          <w:bCs/>
        </w:rPr>
      </w:pPr>
    </w:p>
    <w:p w14:paraId="351EC0C6" w14:textId="7CE642D9" w:rsidR="007C5F33" w:rsidRDefault="007C5F33" w:rsidP="007C5F33">
      <w:pPr>
        <w:jc w:val="center"/>
        <w:rPr>
          <w:b/>
          <w:bCs/>
        </w:rPr>
      </w:pPr>
      <w:r>
        <w:rPr>
          <w:b/>
          <w:bCs/>
        </w:rPr>
        <w:t>Wskaźniki</w:t>
      </w:r>
    </w:p>
    <w:p w14:paraId="09D76FDD" w14:textId="77777777" w:rsidR="007C5F33" w:rsidRDefault="007C5F33" w:rsidP="007C5F33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31"/>
        <w:gridCol w:w="749"/>
        <w:gridCol w:w="3405"/>
        <w:gridCol w:w="1971"/>
      </w:tblGrid>
      <w:tr w:rsidR="007C5F33" w:rsidRPr="007C5F33" w14:paraId="28BC674C" w14:textId="77777777" w:rsidTr="007C5F3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C1FBDAD" w14:textId="307754C0" w:rsidR="007C5F33" w:rsidRPr="007C5F33" w:rsidRDefault="007C5F33" w:rsidP="007C5F33">
            <w:pPr>
              <w:spacing w:before="60" w:after="0" w:line="240" w:lineRule="auto"/>
              <w:jc w:val="center"/>
              <w:rPr>
                <w:b/>
                <w:bCs/>
                <w:color w:val="000000"/>
              </w:rPr>
            </w:pPr>
            <w:r w:rsidRPr="007C5F33">
              <w:rPr>
                <w:b/>
                <w:bCs/>
                <w:color w:val="000000"/>
              </w:rPr>
              <w:t>Wskaźniki produktu</w:t>
            </w:r>
          </w:p>
        </w:tc>
      </w:tr>
      <w:tr w:rsidR="007C5F33" w:rsidRPr="007C5F33" w14:paraId="0900FF76" w14:textId="77777777" w:rsidTr="007C5F33">
        <w:trPr>
          <w:trHeight w:val="55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D39318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Lp.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75BEDA4E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Wskaźnik produktu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auto" w:fill="F2F2F2"/>
          </w:tcPr>
          <w:p w14:paraId="35C9D354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Jedn.</w:t>
            </w:r>
          </w:p>
          <w:p w14:paraId="1ABD140F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miary</w:t>
            </w:r>
          </w:p>
        </w:tc>
        <w:tc>
          <w:tcPr>
            <w:tcW w:w="1892" w:type="pct"/>
            <w:tcBorders>
              <w:top w:val="single" w:sz="4" w:space="0" w:color="auto"/>
            </w:tcBorders>
            <w:shd w:val="clear" w:color="auto" w:fill="F2F2F2"/>
          </w:tcPr>
          <w:p w14:paraId="62B7556B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 xml:space="preserve">Źródło </w:t>
            </w:r>
            <w:r w:rsidRPr="007C5F33">
              <w:rPr>
                <w:color w:val="000000"/>
              </w:rPr>
              <w:br/>
              <w:t>weryfikacji</w:t>
            </w:r>
          </w:p>
        </w:tc>
        <w:tc>
          <w:tcPr>
            <w:tcW w:w="1101" w:type="pct"/>
            <w:tcBorders>
              <w:top w:val="single" w:sz="4" w:space="0" w:color="auto"/>
            </w:tcBorders>
            <w:shd w:val="clear" w:color="auto" w:fill="F2F2F2"/>
          </w:tcPr>
          <w:p w14:paraId="2E54DF23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Wartość docelowa</w:t>
            </w:r>
          </w:p>
        </w:tc>
      </w:tr>
      <w:tr w:rsidR="007C5F33" w:rsidRPr="007C5F33" w14:paraId="3E9D43C5" w14:textId="77777777" w:rsidTr="007C5F33">
        <w:tc>
          <w:tcPr>
            <w:tcW w:w="251" w:type="pct"/>
            <w:tcBorders>
              <w:top w:val="single" w:sz="4" w:space="0" w:color="auto"/>
            </w:tcBorders>
          </w:tcPr>
          <w:p w14:paraId="7F91F3E3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  <w:r w:rsidRPr="007C5F33">
              <w:rPr>
                <w:color w:val="000000"/>
              </w:rPr>
              <w:t>1)</w:t>
            </w:r>
          </w:p>
        </w:tc>
        <w:tc>
          <w:tcPr>
            <w:tcW w:w="1355" w:type="pct"/>
          </w:tcPr>
          <w:p w14:paraId="1D464A8C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401" w:type="pct"/>
          </w:tcPr>
          <w:p w14:paraId="2CA692BC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892" w:type="pct"/>
          </w:tcPr>
          <w:p w14:paraId="0D5800C7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101" w:type="pct"/>
          </w:tcPr>
          <w:p w14:paraId="04229AE7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</w:tr>
      <w:tr w:rsidR="007C5F33" w:rsidRPr="007C5F33" w14:paraId="7A43E62D" w14:textId="77777777" w:rsidTr="007C5F33">
        <w:tc>
          <w:tcPr>
            <w:tcW w:w="251" w:type="pct"/>
          </w:tcPr>
          <w:p w14:paraId="323DAAB8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  <w:r w:rsidRPr="007C5F33">
              <w:rPr>
                <w:color w:val="000000"/>
              </w:rPr>
              <w:t>2)</w:t>
            </w:r>
          </w:p>
        </w:tc>
        <w:tc>
          <w:tcPr>
            <w:tcW w:w="1355" w:type="pct"/>
          </w:tcPr>
          <w:p w14:paraId="02CB19A2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401" w:type="pct"/>
          </w:tcPr>
          <w:p w14:paraId="44A30596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892" w:type="pct"/>
          </w:tcPr>
          <w:p w14:paraId="3D1A2C01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101" w:type="pct"/>
          </w:tcPr>
          <w:p w14:paraId="3016EB0C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</w:tr>
      <w:tr w:rsidR="007C5F33" w:rsidRPr="007C5F33" w14:paraId="2CA13A48" w14:textId="77777777" w:rsidTr="007C5F33">
        <w:tc>
          <w:tcPr>
            <w:tcW w:w="251" w:type="pct"/>
          </w:tcPr>
          <w:p w14:paraId="19E23CBE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  <w:r w:rsidRPr="007C5F33">
              <w:rPr>
                <w:color w:val="000000"/>
              </w:rPr>
              <w:t>…</w:t>
            </w:r>
          </w:p>
        </w:tc>
        <w:tc>
          <w:tcPr>
            <w:tcW w:w="1355" w:type="pct"/>
          </w:tcPr>
          <w:p w14:paraId="17410A2F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401" w:type="pct"/>
          </w:tcPr>
          <w:p w14:paraId="353079A7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892" w:type="pct"/>
          </w:tcPr>
          <w:p w14:paraId="1FB7C793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101" w:type="pct"/>
          </w:tcPr>
          <w:p w14:paraId="687005F3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</w:tr>
    </w:tbl>
    <w:p w14:paraId="4045B16D" w14:textId="77777777" w:rsidR="007C5F33" w:rsidRPr="007C5F33" w:rsidRDefault="007C5F33" w:rsidP="007C5F33">
      <w:pPr>
        <w:spacing w:before="60" w:after="0" w:line="240" w:lineRule="auto"/>
        <w:rPr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31"/>
        <w:gridCol w:w="749"/>
        <w:gridCol w:w="3405"/>
        <w:gridCol w:w="1971"/>
      </w:tblGrid>
      <w:tr w:rsidR="007C5F33" w:rsidRPr="007C5F33" w14:paraId="416779C2" w14:textId="77777777" w:rsidTr="007C5F3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4CB47132" w14:textId="513133A5" w:rsidR="007C5F33" w:rsidRPr="007C5F33" w:rsidRDefault="007C5F33" w:rsidP="007C5F33">
            <w:pPr>
              <w:spacing w:before="60" w:after="0" w:line="240" w:lineRule="auto"/>
              <w:jc w:val="center"/>
              <w:rPr>
                <w:b/>
                <w:bCs/>
                <w:color w:val="000000"/>
              </w:rPr>
            </w:pPr>
            <w:r w:rsidRPr="007C5F33">
              <w:rPr>
                <w:b/>
                <w:bCs/>
                <w:color w:val="000000"/>
              </w:rPr>
              <w:t>Wskaźniki rezultatu</w:t>
            </w:r>
          </w:p>
        </w:tc>
      </w:tr>
      <w:tr w:rsidR="007C5F33" w:rsidRPr="007C5F33" w14:paraId="010CE131" w14:textId="77777777" w:rsidTr="007C5F33">
        <w:trPr>
          <w:trHeight w:val="55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B6E536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Lp.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38842B60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Wskaźnik rezultatu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auto" w:fill="F2F2F2"/>
          </w:tcPr>
          <w:p w14:paraId="4180C4C9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Jedn.</w:t>
            </w:r>
          </w:p>
          <w:p w14:paraId="040A34BB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miary</w:t>
            </w:r>
          </w:p>
        </w:tc>
        <w:tc>
          <w:tcPr>
            <w:tcW w:w="1892" w:type="pct"/>
            <w:tcBorders>
              <w:top w:val="single" w:sz="4" w:space="0" w:color="auto"/>
            </w:tcBorders>
            <w:shd w:val="clear" w:color="auto" w:fill="F2F2F2"/>
          </w:tcPr>
          <w:p w14:paraId="16959804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 xml:space="preserve">Źródło </w:t>
            </w:r>
            <w:r w:rsidRPr="007C5F33">
              <w:rPr>
                <w:color w:val="000000"/>
              </w:rPr>
              <w:br/>
              <w:t>weryfikacji</w:t>
            </w:r>
          </w:p>
        </w:tc>
        <w:tc>
          <w:tcPr>
            <w:tcW w:w="1101" w:type="pct"/>
            <w:tcBorders>
              <w:top w:val="single" w:sz="4" w:space="0" w:color="auto"/>
            </w:tcBorders>
            <w:shd w:val="clear" w:color="auto" w:fill="F2F2F2"/>
          </w:tcPr>
          <w:p w14:paraId="03F5A022" w14:textId="77777777" w:rsidR="007C5F33" w:rsidRPr="007C5F33" w:rsidRDefault="007C5F33" w:rsidP="00935549">
            <w:pPr>
              <w:spacing w:before="60" w:after="0" w:line="240" w:lineRule="auto"/>
              <w:jc w:val="center"/>
              <w:rPr>
                <w:color w:val="000000"/>
              </w:rPr>
            </w:pPr>
            <w:r w:rsidRPr="007C5F33">
              <w:rPr>
                <w:color w:val="000000"/>
              </w:rPr>
              <w:t>Wartość docelowa</w:t>
            </w:r>
          </w:p>
        </w:tc>
      </w:tr>
      <w:tr w:rsidR="007C5F33" w:rsidRPr="007C5F33" w14:paraId="2C0906B5" w14:textId="77777777" w:rsidTr="007C5F33">
        <w:tc>
          <w:tcPr>
            <w:tcW w:w="251" w:type="pct"/>
            <w:tcBorders>
              <w:top w:val="single" w:sz="4" w:space="0" w:color="auto"/>
            </w:tcBorders>
          </w:tcPr>
          <w:p w14:paraId="7AC191F3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  <w:r w:rsidRPr="007C5F33">
              <w:rPr>
                <w:color w:val="000000"/>
              </w:rPr>
              <w:t>1)</w:t>
            </w:r>
          </w:p>
        </w:tc>
        <w:tc>
          <w:tcPr>
            <w:tcW w:w="1355" w:type="pct"/>
          </w:tcPr>
          <w:p w14:paraId="6F091AA0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401" w:type="pct"/>
          </w:tcPr>
          <w:p w14:paraId="4B4F5600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892" w:type="pct"/>
          </w:tcPr>
          <w:p w14:paraId="3DA30ACD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101" w:type="pct"/>
          </w:tcPr>
          <w:p w14:paraId="32E23B48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</w:tr>
      <w:tr w:rsidR="007C5F33" w:rsidRPr="007C5F33" w14:paraId="14A14A06" w14:textId="77777777" w:rsidTr="007C5F33">
        <w:tc>
          <w:tcPr>
            <w:tcW w:w="251" w:type="pct"/>
          </w:tcPr>
          <w:p w14:paraId="71532784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  <w:r w:rsidRPr="007C5F33">
              <w:rPr>
                <w:color w:val="000000"/>
              </w:rPr>
              <w:t>2)</w:t>
            </w:r>
          </w:p>
        </w:tc>
        <w:tc>
          <w:tcPr>
            <w:tcW w:w="1355" w:type="pct"/>
          </w:tcPr>
          <w:p w14:paraId="1E1FE406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401" w:type="pct"/>
          </w:tcPr>
          <w:p w14:paraId="487B7167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892" w:type="pct"/>
          </w:tcPr>
          <w:p w14:paraId="42BA513D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101" w:type="pct"/>
          </w:tcPr>
          <w:p w14:paraId="00CB5C51" w14:textId="77777777" w:rsidR="007C5F33" w:rsidRPr="007C5F33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</w:tr>
      <w:tr w:rsidR="007C5F33" w:rsidRPr="006F5369" w14:paraId="57823153" w14:textId="77777777" w:rsidTr="007C5F33">
        <w:tc>
          <w:tcPr>
            <w:tcW w:w="251" w:type="pct"/>
          </w:tcPr>
          <w:p w14:paraId="0AA17D4F" w14:textId="77777777" w:rsidR="007C5F33" w:rsidRPr="006F5369" w:rsidRDefault="007C5F33" w:rsidP="00935549">
            <w:pPr>
              <w:spacing w:before="60" w:after="0" w:line="240" w:lineRule="auto"/>
              <w:rPr>
                <w:color w:val="000000"/>
                <w:sz w:val="20"/>
                <w:szCs w:val="20"/>
              </w:rPr>
            </w:pPr>
            <w:r w:rsidRPr="006F53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55" w:type="pct"/>
          </w:tcPr>
          <w:p w14:paraId="7050F65B" w14:textId="77777777" w:rsidR="007C5F33" w:rsidRPr="006F5369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401" w:type="pct"/>
          </w:tcPr>
          <w:p w14:paraId="6D080185" w14:textId="77777777" w:rsidR="007C5F33" w:rsidRPr="006F5369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892" w:type="pct"/>
          </w:tcPr>
          <w:p w14:paraId="672F48AB" w14:textId="77777777" w:rsidR="007C5F33" w:rsidRPr="006F5369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  <w:tc>
          <w:tcPr>
            <w:tcW w:w="1101" w:type="pct"/>
          </w:tcPr>
          <w:p w14:paraId="1C03C3FB" w14:textId="77777777" w:rsidR="007C5F33" w:rsidRPr="006F5369" w:rsidRDefault="007C5F33" w:rsidP="00935549">
            <w:pPr>
              <w:spacing w:before="60" w:after="0" w:line="240" w:lineRule="auto"/>
              <w:rPr>
                <w:color w:val="000000"/>
              </w:rPr>
            </w:pPr>
          </w:p>
        </w:tc>
      </w:tr>
    </w:tbl>
    <w:p w14:paraId="080D62B6" w14:textId="77777777" w:rsidR="007C5F33" w:rsidRDefault="007C5F33" w:rsidP="007C5F33">
      <w:pPr>
        <w:jc w:val="center"/>
        <w:rPr>
          <w:b/>
          <w:bCs/>
        </w:rPr>
      </w:pPr>
    </w:p>
    <w:p w14:paraId="02031C16" w14:textId="71CBDE5E" w:rsidR="00B57E6C" w:rsidRDefault="00B57E6C">
      <w:pPr>
        <w:rPr>
          <w:b/>
          <w:bCs/>
        </w:rPr>
      </w:pPr>
      <w:r>
        <w:rPr>
          <w:b/>
          <w:bCs/>
        </w:rPr>
        <w:br w:type="page"/>
      </w:r>
    </w:p>
    <w:p w14:paraId="14760922" w14:textId="4C5C5CBF" w:rsidR="00F25E13" w:rsidRDefault="00B57E6C" w:rsidP="00F25E13">
      <w:pPr>
        <w:jc w:val="center"/>
        <w:rPr>
          <w:b/>
          <w:bCs/>
        </w:rPr>
      </w:pPr>
      <w:r>
        <w:rPr>
          <w:b/>
          <w:bCs/>
        </w:rPr>
        <w:lastRenderedPageBreak/>
        <w:t>Instrukcja</w:t>
      </w:r>
    </w:p>
    <w:p w14:paraId="10E90434" w14:textId="77777777" w:rsidR="00F25E13" w:rsidRDefault="00F25E13" w:rsidP="00F25E13">
      <w:pPr>
        <w:rPr>
          <w:b/>
          <w:bCs/>
        </w:rPr>
      </w:pPr>
    </w:p>
    <w:p w14:paraId="3C9B7B0E" w14:textId="0ED9EDFA" w:rsidR="00F25E13" w:rsidRDefault="00F25E13" w:rsidP="00F25E13">
      <w:r w:rsidRPr="00F25E13">
        <w:rPr>
          <w:b/>
          <w:bCs/>
        </w:rPr>
        <w:t xml:space="preserve">Opis operacji </w:t>
      </w:r>
      <w:r w:rsidRPr="00F25E13">
        <w:t xml:space="preserve">– należy opisać planowaną do realizacji operację w taki sposób, aby była możliwa weryfikacja planowanych do osiągnięcia celów w odniesieniu do zakładanych rezultatów (efektów). Opis operacji powinien być zwięzły. Należy uzasadnić możliwość osiągnięcia celu poprzez zakładany zakres i czas realizacji operacji w kontekście przyjętych nakładów. </w:t>
      </w:r>
    </w:p>
    <w:p w14:paraId="489AF7D4" w14:textId="77777777" w:rsidR="00A25E04" w:rsidRDefault="00A25E04" w:rsidP="00A25E04">
      <w:r w:rsidRPr="00A953AF">
        <w:t>W przypadku</w:t>
      </w:r>
      <w:r w:rsidRPr="00F25E13">
        <w:t xml:space="preserve"> operacji realizowanych w ramach zakres</w:t>
      </w:r>
      <w:r w:rsidRPr="00A953AF">
        <w:t>u</w:t>
      </w:r>
      <w:r w:rsidRPr="00F25E13">
        <w:t xml:space="preserve"> poprawa dostępu do małej infrastruktury publicznej</w:t>
      </w:r>
      <w:r>
        <w:t xml:space="preserve"> w</w:t>
      </w:r>
      <w:r w:rsidRPr="00F25E13">
        <w:t xml:space="preserve"> opisie operacji podmiot powinien wykazać, że </w:t>
      </w:r>
      <w:r w:rsidRPr="00A953AF">
        <w:t>operacja służy zaspokajaniu potrzeb społeczności lokalnej</w:t>
      </w:r>
      <w:r w:rsidRPr="00F25E13">
        <w:t xml:space="preserve">. </w:t>
      </w:r>
    </w:p>
    <w:p w14:paraId="33CC8E5F" w14:textId="77777777" w:rsidR="00F25E13" w:rsidRPr="00F25E13" w:rsidRDefault="00F25E13" w:rsidP="00F25E13">
      <w:r w:rsidRPr="00F25E13">
        <w:t xml:space="preserve">W przypadku, gdy planowana operacja dotyczy realizacji w szczególności: szkoleń / warsztatów / przedsięwzięć edukacyjnych / imprez / wydarzeń w opisie operacji należy zawrzeć szczegółowe informacje dotyczące planowanej organizacji i realizacji każdego przedsięwzięcia, m.in.: </w:t>
      </w:r>
    </w:p>
    <w:p w14:paraId="497E9486" w14:textId="77777777" w:rsidR="00F25E13" w:rsidRPr="00F25E13" w:rsidRDefault="00F25E13" w:rsidP="00A953AF">
      <w:pPr>
        <w:spacing w:before="60" w:after="60" w:line="240" w:lineRule="auto"/>
      </w:pPr>
      <w:r w:rsidRPr="00F25E13">
        <w:t xml:space="preserve">− tytuł / nazwa / temat, </w:t>
      </w:r>
    </w:p>
    <w:p w14:paraId="1814B37F" w14:textId="77777777" w:rsidR="00F25E13" w:rsidRPr="00F25E13" w:rsidRDefault="00F25E13" w:rsidP="00A953AF">
      <w:pPr>
        <w:spacing w:before="60" w:after="60" w:line="240" w:lineRule="auto"/>
      </w:pPr>
      <w:r w:rsidRPr="00F25E13">
        <w:t xml:space="preserve">− termin, </w:t>
      </w:r>
    </w:p>
    <w:p w14:paraId="6D36C84E" w14:textId="77777777" w:rsidR="00F25E13" w:rsidRPr="00F25E13" w:rsidRDefault="00F25E13" w:rsidP="00A953AF">
      <w:pPr>
        <w:spacing w:before="60" w:after="60" w:line="240" w:lineRule="auto"/>
      </w:pPr>
      <w:r w:rsidRPr="00F25E13">
        <w:t xml:space="preserve">− lokalizacja, </w:t>
      </w:r>
    </w:p>
    <w:p w14:paraId="69AF48E0" w14:textId="77777777" w:rsidR="00F25E13" w:rsidRPr="00F25E13" w:rsidRDefault="00F25E13" w:rsidP="00A953AF">
      <w:pPr>
        <w:spacing w:before="60" w:after="60" w:line="240" w:lineRule="auto"/>
      </w:pPr>
      <w:r w:rsidRPr="00F25E13">
        <w:t xml:space="preserve">− czas trwania w podziale na liczbę dni i liczbę godzin, </w:t>
      </w:r>
    </w:p>
    <w:p w14:paraId="048BB2FD" w14:textId="77777777" w:rsidR="00F25E13" w:rsidRPr="00F25E13" w:rsidRDefault="00F25E13" w:rsidP="00A953AF">
      <w:pPr>
        <w:spacing w:before="60" w:after="60" w:line="240" w:lineRule="auto"/>
      </w:pPr>
      <w:r w:rsidRPr="00F25E13">
        <w:t xml:space="preserve">− grupa docelowa odbiorców (potencjalni uczestnicy, liczba) oraz zasady uczestnictwa (ogólna dostępność, zasady rekrutacji, kryteria selekcji w przypadku ograniczonej dostępności, odpłatność za uczestnictwo, dochodowość), </w:t>
      </w:r>
    </w:p>
    <w:p w14:paraId="7E5E3FD1" w14:textId="77777777" w:rsidR="00F25E13" w:rsidRPr="00F25E13" w:rsidRDefault="00F25E13" w:rsidP="00A953AF">
      <w:pPr>
        <w:spacing w:before="60" w:after="60" w:line="240" w:lineRule="auto"/>
      </w:pPr>
      <w:r w:rsidRPr="00F25E13">
        <w:t xml:space="preserve">− program (wstępny harmonogram, zakres), </w:t>
      </w:r>
    </w:p>
    <w:p w14:paraId="00C31FB4" w14:textId="77777777" w:rsidR="00F25E13" w:rsidRPr="00F25E13" w:rsidRDefault="00F25E13" w:rsidP="00A953AF">
      <w:pPr>
        <w:spacing w:before="60" w:after="60" w:line="240" w:lineRule="auto"/>
      </w:pPr>
      <w:r w:rsidRPr="00F25E13">
        <w:t xml:space="preserve">− rodzaj materiałów związanych z przygotowaniem, promocją oraz realizacją, np.: zaproszenia, plakaty, ogłoszenia, reklamy, materiały szkoleniowe, prezentacje, regulamin konkursu lub zasady przyznawania nagród, </w:t>
      </w:r>
    </w:p>
    <w:p w14:paraId="58A3E9B9" w14:textId="77777777" w:rsidR="00F25E13" w:rsidRPr="00F25E13" w:rsidRDefault="00F25E13" w:rsidP="00A953AF">
      <w:pPr>
        <w:spacing w:before="60" w:after="60" w:line="240" w:lineRule="auto"/>
      </w:pPr>
      <w:r w:rsidRPr="00F25E13">
        <w:t xml:space="preserve">− niezbędne zaplecze techniczno-organizacyjne. </w:t>
      </w:r>
    </w:p>
    <w:p w14:paraId="70B6E89B" w14:textId="77777777" w:rsidR="00F25E13" w:rsidRPr="00F25E13" w:rsidRDefault="00F25E13" w:rsidP="00A953AF">
      <w:pPr>
        <w:spacing w:before="120"/>
      </w:pPr>
      <w:r w:rsidRPr="00F25E13">
        <w:t xml:space="preserve">W przypadku, gdy planowana operacja obejmuje zadania polegające na wykonaniu publikacji w opisie operacji należy zawrzeć szczegółowe informacje, m.in. planowane: </w:t>
      </w:r>
    </w:p>
    <w:p w14:paraId="34067686" w14:textId="77777777" w:rsidR="00F25E13" w:rsidRPr="00F25E13" w:rsidRDefault="00F25E13" w:rsidP="00A953AF">
      <w:pPr>
        <w:spacing w:before="60" w:after="60"/>
      </w:pPr>
      <w:r w:rsidRPr="00F25E13">
        <w:t xml:space="preserve">− tytuł, </w:t>
      </w:r>
    </w:p>
    <w:p w14:paraId="76FDC207" w14:textId="77777777" w:rsidR="00F25E13" w:rsidRPr="00F25E13" w:rsidRDefault="00F25E13" w:rsidP="00A953AF">
      <w:pPr>
        <w:spacing w:before="60" w:after="60"/>
      </w:pPr>
      <w:r w:rsidRPr="00F25E13">
        <w:t xml:space="preserve">− zakres, liczba stron (w przybliżeniu), format, rodzaj oprawy, liczba egzemplarzy, </w:t>
      </w:r>
    </w:p>
    <w:p w14:paraId="4587066B" w14:textId="77777777" w:rsidR="00F25E13" w:rsidRPr="00F25E13" w:rsidRDefault="00F25E13" w:rsidP="00A953AF">
      <w:pPr>
        <w:spacing w:before="60" w:after="60"/>
      </w:pPr>
      <w:r w:rsidRPr="00F25E13">
        <w:t xml:space="preserve">− grupa docelowa (potencjalni odbiorcy) oraz zasady udostępniania i dystrybucji (ogólna dostępność, odpłatność od odbiorców za udostępnienie, dochodowość). </w:t>
      </w:r>
    </w:p>
    <w:p w14:paraId="680E083E" w14:textId="62025EA9" w:rsidR="00F25E13" w:rsidRPr="00F25E13" w:rsidRDefault="00F25E13" w:rsidP="00F25E13">
      <w:r w:rsidRPr="00F25E13">
        <w:t>W przypadku tzw. „projektów miękkich” podmiot przed zawarciem umowy powinien zaplanować realizację zadań w ramach operacji lub jej etapu (terminy szkoleń czy warsztatów).</w:t>
      </w:r>
    </w:p>
    <w:p w14:paraId="48F8EBB8" w14:textId="23378D12" w:rsidR="00780B91" w:rsidRDefault="00F25E13" w:rsidP="00F25E13">
      <w:r w:rsidRPr="00F25E13">
        <w:t>Planując realizację operacji inwestycyjnej związanej np. z infrastrukturą turystyczną, należy wziąć pod uwagę, że infrastruktura ta będzie musiała być udostępniana, przez co najmniej 5 lat od dnia dokonania przez ARiMR płatności ostatecznej.</w:t>
      </w:r>
    </w:p>
    <w:p w14:paraId="4DB86E67" w14:textId="3C1F029A" w:rsidR="00A25E04" w:rsidRDefault="00A25E04" w:rsidP="00F25E13">
      <w:r w:rsidRPr="00A25E04">
        <w:t>W przypadku operacji w ramach projektu partnerskiego albo operacji realizowanej w partnerstwie należy wykazać pozytywną różnicę w efektach realizacji operacji samodzielnie oraz efektach realizacji operacji z partnerem/partnerami.</w:t>
      </w:r>
    </w:p>
    <w:sectPr w:rsidR="00A25E04" w:rsidSect="007C5F33">
      <w:headerReference w:type="default" r:id="rId6"/>
      <w:footerReference w:type="default" r:id="rId7"/>
      <w:pgSz w:w="11906" w:h="17338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FA266" w14:textId="77777777" w:rsidR="00A67CCE" w:rsidRDefault="00A67CCE" w:rsidP="00A67CCE">
      <w:pPr>
        <w:spacing w:after="0" w:line="240" w:lineRule="auto"/>
      </w:pPr>
      <w:r>
        <w:separator/>
      </w:r>
    </w:p>
  </w:endnote>
  <w:endnote w:type="continuationSeparator" w:id="0">
    <w:p w14:paraId="2860C3DF" w14:textId="77777777" w:rsidR="00A67CCE" w:rsidRDefault="00A67CCE" w:rsidP="00A6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2907458"/>
      <w:docPartObj>
        <w:docPartGallery w:val="Page Numbers (Bottom of Page)"/>
        <w:docPartUnique/>
      </w:docPartObj>
    </w:sdtPr>
    <w:sdtEndPr/>
    <w:sdtContent>
      <w:p w14:paraId="50CB7EBD" w14:textId="4312AE0D" w:rsidR="00A67CCE" w:rsidRDefault="00A67C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695D2F" w14:textId="77777777" w:rsidR="00A67CCE" w:rsidRDefault="00A67C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09C2B" w14:textId="77777777" w:rsidR="00A67CCE" w:rsidRDefault="00A67CCE" w:rsidP="00A67CCE">
      <w:pPr>
        <w:spacing w:after="0" w:line="240" w:lineRule="auto"/>
      </w:pPr>
      <w:r>
        <w:separator/>
      </w:r>
    </w:p>
  </w:footnote>
  <w:footnote w:type="continuationSeparator" w:id="0">
    <w:p w14:paraId="63F097AB" w14:textId="77777777" w:rsidR="00A67CCE" w:rsidRDefault="00A67CCE" w:rsidP="00A67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8EA44" w14:textId="7E115A7B" w:rsidR="00A67CCE" w:rsidRDefault="00A67CCE" w:rsidP="007C5F33">
    <w:pPr>
      <w:pStyle w:val="Nagwek"/>
    </w:pPr>
    <w:r>
      <w:rPr>
        <w:noProof/>
      </w:rPr>
      <w:drawing>
        <wp:inline distT="0" distB="0" distL="0" distR="0" wp14:anchorId="7AC90E13" wp14:editId="01B2E16F">
          <wp:extent cx="5876925" cy="676275"/>
          <wp:effectExtent l="0" t="0" r="9525" b="9525"/>
          <wp:docPr id="1338140940" name="image1.jpg" descr="Obraz zawierający tekst, zrzut ekranu, linia, Czcion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5500893" name="image1.jpg" descr="Obraz zawierający tekst, zrzut ekranu, linia, Czcionka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76925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E13"/>
    <w:rsid w:val="00135D28"/>
    <w:rsid w:val="003012F2"/>
    <w:rsid w:val="004A52FE"/>
    <w:rsid w:val="00780B91"/>
    <w:rsid w:val="007C5F33"/>
    <w:rsid w:val="00995F87"/>
    <w:rsid w:val="009B145A"/>
    <w:rsid w:val="00A25E04"/>
    <w:rsid w:val="00A67CCE"/>
    <w:rsid w:val="00A953AF"/>
    <w:rsid w:val="00B57E6C"/>
    <w:rsid w:val="00B8120C"/>
    <w:rsid w:val="00C91F8E"/>
    <w:rsid w:val="00F25E13"/>
    <w:rsid w:val="00FB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C388"/>
  <w15:chartTrackingRefBased/>
  <w15:docId w15:val="{9FA89343-C3BF-45E9-A80F-008990F2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5E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5E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5E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5E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5E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5E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5E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5E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5E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E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5E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5E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5E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5E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5E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5E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5E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5E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5E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5E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5E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5E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5E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5E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5E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5E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5E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5E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5E1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F25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7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CCE"/>
  </w:style>
  <w:style w:type="paragraph" w:styleId="Stopka">
    <w:name w:val="footer"/>
    <w:basedOn w:val="Normalny"/>
    <w:link w:val="StopkaZnak"/>
    <w:uiPriority w:val="99"/>
    <w:unhideWhenUsed/>
    <w:rsid w:val="00A67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 Kasperek</dc:creator>
  <cp:keywords/>
  <dc:description/>
  <cp:lastModifiedBy>Michał Płonka Office</cp:lastModifiedBy>
  <cp:revision>6</cp:revision>
  <dcterms:created xsi:type="dcterms:W3CDTF">2025-02-13T07:05:00Z</dcterms:created>
  <dcterms:modified xsi:type="dcterms:W3CDTF">2025-02-25T11:40:00Z</dcterms:modified>
</cp:coreProperties>
</file>